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7CDB" w14:textId="3DCB0805" w:rsidR="00510263" w:rsidRPr="00510263" w:rsidRDefault="00510263" w:rsidP="00510263">
      <w:pPr>
        <w:spacing w:line="600" w:lineRule="exact"/>
        <w:jc w:val="left"/>
        <w:outlineLvl w:val="0"/>
        <w:rPr>
          <w:rFonts w:ascii="黑体" w:eastAsia="黑体" w:hAnsi="黑体" w:cs="方正小标宋简体" w:hint="eastAsia"/>
          <w:sz w:val="32"/>
          <w:szCs w:val="32"/>
        </w:rPr>
      </w:pPr>
      <w:bookmarkStart w:id="0" w:name="_Toc73353862"/>
      <w:r w:rsidRPr="00510263">
        <w:rPr>
          <w:rFonts w:ascii="黑体" w:eastAsia="黑体" w:hAnsi="黑体" w:cs="方正小标宋简体" w:hint="eastAsia"/>
          <w:sz w:val="32"/>
          <w:szCs w:val="32"/>
        </w:rPr>
        <w:t>附件1</w:t>
      </w:r>
    </w:p>
    <w:p w14:paraId="216E44C4" w14:textId="79C72904" w:rsidR="00715A1F" w:rsidRDefault="00000000">
      <w:pPr>
        <w:spacing w:line="60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项目技术、服务及商务要求</w:t>
      </w:r>
      <w:bookmarkEnd w:id="0"/>
    </w:p>
    <w:p w14:paraId="204EBCDD" w14:textId="77777777" w:rsidR="00715A1F" w:rsidRDefault="00715A1F">
      <w:pPr>
        <w:spacing w:line="600" w:lineRule="exact"/>
        <w:rPr>
          <w:rFonts w:ascii="黑体" w:eastAsia="黑体" w:hAnsi="黑体" w:cs="黑体" w:hint="eastAsia"/>
          <w:b/>
          <w:sz w:val="32"/>
          <w:szCs w:val="32"/>
        </w:rPr>
      </w:pPr>
      <w:bookmarkStart w:id="1" w:name="_Toc73353863"/>
    </w:p>
    <w:p w14:paraId="2954EB80" w14:textId="77777777" w:rsidR="00715A1F" w:rsidRDefault="00000000">
      <w:pPr>
        <w:tabs>
          <w:tab w:val="left" w:pos="753"/>
        </w:tabs>
        <w:spacing w:line="600" w:lineRule="exact"/>
        <w:ind w:firstLineChars="200" w:firstLine="643"/>
        <w:rPr>
          <w:rFonts w:ascii="仿宋" w:eastAsia="仿宋" w:hAnsi="仿宋" w:cs="仿宋" w:hint="eastAsia"/>
          <w:b/>
          <w:bCs/>
          <w:szCs w:val="32"/>
        </w:rPr>
      </w:pPr>
      <w:r>
        <w:rPr>
          <w:rFonts w:ascii="黑体" w:eastAsia="黑体" w:hAnsi="黑体" w:cs="黑体" w:hint="eastAsia"/>
          <w:b/>
          <w:sz w:val="32"/>
          <w:szCs w:val="32"/>
        </w:rPr>
        <w:t>一、</w:t>
      </w:r>
      <w:bookmarkEnd w:id="1"/>
      <w:r>
        <w:rPr>
          <w:rFonts w:ascii="黑体" w:eastAsia="黑体" w:hAnsi="黑体" w:cs="黑体" w:hint="eastAsia"/>
          <w:sz w:val="32"/>
          <w:szCs w:val="32"/>
        </w:rPr>
        <w:t>采购项目说明</w:t>
      </w:r>
    </w:p>
    <w:p w14:paraId="5F426E80" w14:textId="04161B14"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项目为中国地质调查局长沙自然资源综合调查中心野外项目车辆租赁定点服务机构选定，实际租赁的车辆数量以下达的订单为准，按实际订单租赁和结算，若实际数量未达到预估数的，供应商不得要求采购方按照预估数进行下单和结算，此次采购费用预算为90万元(玖拾万元整)，现</w:t>
      </w:r>
      <w:r>
        <w:rPr>
          <w:rFonts w:ascii="仿宋_GB2312" w:eastAsia="仿宋_GB2312" w:hAnsi="仿宋_GB2312" w:cs="仿宋_GB2312" w:hint="eastAsia"/>
          <w:bCs/>
          <w:sz w:val="32"/>
          <w:szCs w:val="32"/>
        </w:rPr>
        <w:t>拟</w:t>
      </w:r>
      <w:r>
        <w:rPr>
          <w:rFonts w:ascii="仿宋_GB2312" w:eastAsia="仿宋_GB2312" w:hAnsi="仿宋_GB2312" w:cs="仿宋_GB2312" w:hint="eastAsia"/>
          <w:color w:val="000000" w:themeColor="text1"/>
          <w:sz w:val="32"/>
          <w:szCs w:val="32"/>
        </w:rPr>
        <w:t>通</w:t>
      </w:r>
      <w:r>
        <w:rPr>
          <w:rFonts w:ascii="仿宋_GB2312" w:eastAsia="仿宋_GB2312" w:hAnsi="仿宋_GB2312" w:cs="仿宋_GB2312" w:hint="eastAsia"/>
          <w:sz w:val="32"/>
          <w:szCs w:val="32"/>
        </w:rPr>
        <w:t>过</w:t>
      </w:r>
      <w:r w:rsidRPr="00AC7BC4">
        <w:rPr>
          <w:rFonts w:ascii="仿宋_GB2312" w:eastAsia="仿宋_GB2312" w:hAnsi="仿宋_GB2312" w:cs="仿宋_GB2312" w:hint="eastAsia"/>
          <w:sz w:val="32"/>
          <w:szCs w:val="32"/>
        </w:rPr>
        <w:t>询价选定</w:t>
      </w:r>
      <w:r>
        <w:rPr>
          <w:rFonts w:ascii="仿宋_GB2312" w:eastAsia="仿宋_GB2312" w:hAnsi="仿宋_GB2312" w:cs="仿宋_GB2312" w:hint="eastAsia"/>
          <w:bCs/>
          <w:sz w:val="32"/>
          <w:szCs w:val="32"/>
        </w:rPr>
        <w:t>1家合格供应商为我方提供车辆租赁服务。具体产品要求如下：</w:t>
      </w:r>
    </w:p>
    <w:tbl>
      <w:tblPr>
        <w:tblpPr w:leftFromText="180" w:rightFromText="180" w:vertAnchor="text" w:horzAnchor="page" w:tblpX="1767" w:tblpY="254"/>
        <w:tblOverlap w:val="neve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5"/>
        <w:gridCol w:w="1485"/>
      </w:tblGrid>
      <w:tr w:rsidR="00715A1F" w14:paraId="445F06B6" w14:textId="77777777">
        <w:tc>
          <w:tcPr>
            <w:tcW w:w="7005" w:type="dxa"/>
            <w:vAlign w:val="center"/>
          </w:tcPr>
          <w:p w14:paraId="114F263A" w14:textId="77777777" w:rsidR="00715A1F" w:rsidRDefault="00000000">
            <w:pPr>
              <w:pStyle w:val="a8"/>
              <w:spacing w:before="0" w:beforeAutospacing="0" w:after="0" w:afterAutospacing="0" w:line="600" w:lineRule="exact"/>
              <w:jc w:val="center"/>
              <w:rPr>
                <w:rFonts w:ascii="仿宋_GB2312" w:eastAsia="仿宋_GB2312" w:hAnsi="仿宋_GB2312" w:cs="仿宋_GB2312" w:hint="eastAsia"/>
                <w:b/>
                <w:bCs/>
                <w:sz w:val="28"/>
                <w:szCs w:val="28"/>
              </w:rPr>
            </w:pPr>
            <w:bookmarkStart w:id="2" w:name="_Toc28115"/>
            <w:bookmarkStart w:id="3" w:name="_Toc15965"/>
            <w:r>
              <w:rPr>
                <w:rFonts w:ascii="仿宋_GB2312" w:eastAsia="仿宋_GB2312" w:hAnsi="仿宋_GB2312" w:cs="仿宋_GB2312" w:hint="eastAsia"/>
                <w:b/>
                <w:bCs/>
                <w:sz w:val="28"/>
                <w:szCs w:val="28"/>
              </w:rPr>
              <w:t>车型</w:t>
            </w:r>
          </w:p>
        </w:tc>
        <w:tc>
          <w:tcPr>
            <w:tcW w:w="1485" w:type="dxa"/>
            <w:vAlign w:val="center"/>
          </w:tcPr>
          <w:p w14:paraId="5070BF66" w14:textId="77777777" w:rsidR="00715A1F" w:rsidRDefault="00000000">
            <w:pPr>
              <w:pStyle w:val="a8"/>
              <w:spacing w:before="0" w:beforeAutospacing="0" w:after="0" w:afterAutospacing="0" w:line="6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服务期限</w:t>
            </w:r>
          </w:p>
        </w:tc>
      </w:tr>
      <w:tr w:rsidR="00715A1F" w14:paraId="241B1C0F" w14:textId="77777777">
        <w:trPr>
          <w:trHeight w:val="1060"/>
        </w:trPr>
        <w:tc>
          <w:tcPr>
            <w:tcW w:w="7005" w:type="dxa"/>
            <w:vAlign w:val="center"/>
          </w:tcPr>
          <w:p w14:paraId="62FECC4B" w14:textId="185C3265" w:rsidR="00715A1F" w:rsidRDefault="00000000">
            <w:pPr>
              <w:spacing w:before="65" w:line="600" w:lineRule="exact"/>
              <w:ind w:right="-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一类车：越野车，合资品牌或国内一线品牌SUV，四驱，排量1.5T及以上，如</w:t>
            </w:r>
            <w:proofErr w:type="gramStart"/>
            <w:r>
              <w:rPr>
                <w:rFonts w:ascii="仿宋_GB2312" w:eastAsia="仿宋_GB2312" w:hAnsi="仿宋_GB2312" w:cs="仿宋_GB2312" w:hint="eastAsia"/>
                <w:sz w:val="28"/>
                <w:szCs w:val="28"/>
              </w:rPr>
              <w:t>欧蓝德</w:t>
            </w:r>
            <w:proofErr w:type="gramEnd"/>
            <w:r>
              <w:rPr>
                <w:rFonts w:ascii="仿宋_GB2312" w:eastAsia="仿宋_GB2312" w:hAnsi="仿宋_GB2312" w:cs="仿宋_GB2312" w:hint="eastAsia"/>
                <w:sz w:val="28"/>
                <w:szCs w:val="28"/>
              </w:rPr>
              <w:t>四驱、哈佛大狗、</w:t>
            </w:r>
            <w:proofErr w:type="gramStart"/>
            <w:r>
              <w:rPr>
                <w:rFonts w:ascii="仿宋_GB2312" w:eastAsia="仿宋_GB2312" w:hAnsi="仿宋_GB2312" w:cs="仿宋_GB2312" w:hint="eastAsia"/>
                <w:sz w:val="28"/>
                <w:szCs w:val="28"/>
              </w:rPr>
              <w:t>捷途旅行</w:t>
            </w:r>
            <w:proofErr w:type="gramEnd"/>
            <w:r>
              <w:rPr>
                <w:rFonts w:ascii="仿宋_GB2312" w:eastAsia="仿宋_GB2312" w:hAnsi="仿宋_GB2312" w:cs="仿宋_GB2312" w:hint="eastAsia"/>
                <w:sz w:val="28"/>
                <w:szCs w:val="28"/>
              </w:rPr>
              <w:t>者等，</w:t>
            </w:r>
            <w:r w:rsidRPr="005E748E">
              <w:rPr>
                <w:rFonts w:ascii="仿宋_GB2312" w:eastAsia="仿宋_GB2312" w:hAnsi="仿宋_GB2312" w:cs="仿宋_GB2312" w:hint="eastAsia"/>
                <w:b/>
                <w:bCs/>
                <w:sz w:val="28"/>
                <w:szCs w:val="28"/>
              </w:rPr>
              <w:t>提供不少于10台车辆资料</w:t>
            </w:r>
            <w:r w:rsidR="005E748E">
              <w:rPr>
                <w:rFonts w:ascii="仿宋_GB2312" w:eastAsia="仿宋_GB2312" w:hAnsi="仿宋_GB2312" w:cs="仿宋_GB2312" w:hint="eastAsia"/>
                <w:b/>
                <w:bCs/>
                <w:sz w:val="28"/>
                <w:szCs w:val="28"/>
              </w:rPr>
              <w:t>（包括</w:t>
            </w:r>
            <w:r w:rsidR="005E748E" w:rsidRPr="005E748E">
              <w:rPr>
                <w:rFonts w:ascii="仿宋_GB2312" w:eastAsia="仿宋_GB2312" w:hAnsi="仿宋_GB2312" w:cs="仿宋_GB2312" w:hint="eastAsia"/>
                <w:b/>
                <w:bCs/>
                <w:sz w:val="28"/>
                <w:szCs w:val="28"/>
              </w:rPr>
              <w:t>行驶证正副本、车辆型号、车辆照片（缺一不可）</w:t>
            </w:r>
            <w:r w:rsidR="005E748E">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w:t>
            </w:r>
          </w:p>
        </w:tc>
        <w:tc>
          <w:tcPr>
            <w:tcW w:w="1485" w:type="dxa"/>
            <w:vMerge w:val="restart"/>
            <w:vAlign w:val="center"/>
          </w:tcPr>
          <w:p w14:paraId="4CA0B237" w14:textId="77777777" w:rsidR="00715A1F" w:rsidRDefault="00000000">
            <w:pPr>
              <w:pStyle w:val="a8"/>
              <w:spacing w:before="0" w:beforeAutospacing="0" w:after="0" w:afterAutospacing="0" w:line="6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截止到4月30日</w:t>
            </w:r>
          </w:p>
        </w:tc>
      </w:tr>
      <w:tr w:rsidR="00715A1F" w14:paraId="33D82E36" w14:textId="77777777">
        <w:trPr>
          <w:trHeight w:val="640"/>
        </w:trPr>
        <w:tc>
          <w:tcPr>
            <w:tcW w:w="7005" w:type="dxa"/>
            <w:vAlign w:val="center"/>
          </w:tcPr>
          <w:p w14:paraId="762BE4DC" w14:textId="6A494801" w:rsidR="00715A1F" w:rsidRDefault="00000000">
            <w:pPr>
              <w:spacing w:before="65" w:line="600" w:lineRule="exact"/>
              <w:ind w:right="-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二类车：越野车，合资品牌或国内一线品牌SUV，两驱，排量1.5T及以上，如</w:t>
            </w:r>
            <w:proofErr w:type="gramStart"/>
            <w:r>
              <w:rPr>
                <w:rFonts w:ascii="仿宋_GB2312" w:eastAsia="仿宋_GB2312" w:hAnsi="仿宋_GB2312" w:cs="仿宋_GB2312" w:hint="eastAsia"/>
                <w:sz w:val="28"/>
                <w:szCs w:val="28"/>
              </w:rPr>
              <w:t>欧蓝德</w:t>
            </w:r>
            <w:proofErr w:type="gramEnd"/>
            <w:r>
              <w:rPr>
                <w:rFonts w:ascii="仿宋_GB2312" w:eastAsia="仿宋_GB2312" w:hAnsi="仿宋_GB2312" w:cs="仿宋_GB2312" w:hint="eastAsia"/>
                <w:sz w:val="28"/>
                <w:szCs w:val="28"/>
              </w:rPr>
              <w:t>两驱、本田CRV、捷达VS5等，</w:t>
            </w:r>
            <w:r w:rsidRPr="005E748E">
              <w:rPr>
                <w:rFonts w:ascii="仿宋_GB2312" w:eastAsia="仿宋_GB2312" w:hAnsi="仿宋_GB2312" w:cs="仿宋_GB2312" w:hint="eastAsia"/>
                <w:b/>
                <w:bCs/>
                <w:sz w:val="28"/>
                <w:szCs w:val="28"/>
              </w:rPr>
              <w:t>提供不少于10台车辆资料</w:t>
            </w:r>
            <w:r w:rsidR="005E748E">
              <w:rPr>
                <w:rFonts w:ascii="仿宋_GB2312" w:eastAsia="仿宋_GB2312" w:hAnsi="仿宋_GB2312" w:cs="仿宋_GB2312" w:hint="eastAsia"/>
                <w:b/>
                <w:bCs/>
                <w:sz w:val="28"/>
                <w:szCs w:val="28"/>
              </w:rPr>
              <w:t>（包括</w:t>
            </w:r>
            <w:r w:rsidR="005E748E" w:rsidRPr="005E748E">
              <w:rPr>
                <w:rFonts w:ascii="仿宋_GB2312" w:eastAsia="仿宋_GB2312" w:hAnsi="仿宋_GB2312" w:cs="仿宋_GB2312" w:hint="eastAsia"/>
                <w:b/>
                <w:bCs/>
                <w:sz w:val="28"/>
                <w:szCs w:val="28"/>
              </w:rPr>
              <w:t>行驶证正副本、车辆型号、车辆照片（缺一不可）</w:t>
            </w:r>
            <w:r w:rsidR="005E748E">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w:t>
            </w:r>
          </w:p>
        </w:tc>
        <w:tc>
          <w:tcPr>
            <w:tcW w:w="1485" w:type="dxa"/>
            <w:vMerge/>
          </w:tcPr>
          <w:p w14:paraId="62D4BF13" w14:textId="77777777" w:rsidR="00715A1F" w:rsidRDefault="00715A1F">
            <w:pPr>
              <w:pStyle w:val="a8"/>
              <w:spacing w:before="0" w:beforeAutospacing="0" w:after="0" w:afterAutospacing="0" w:line="600" w:lineRule="exact"/>
              <w:jc w:val="center"/>
              <w:rPr>
                <w:rFonts w:hint="eastAsia"/>
                <w:sz w:val="21"/>
                <w:szCs w:val="21"/>
              </w:rPr>
            </w:pPr>
          </w:p>
        </w:tc>
      </w:tr>
      <w:tr w:rsidR="00715A1F" w14:paraId="23483FE7" w14:textId="77777777">
        <w:trPr>
          <w:trHeight w:val="1015"/>
        </w:trPr>
        <w:tc>
          <w:tcPr>
            <w:tcW w:w="7005" w:type="dxa"/>
            <w:vAlign w:val="center"/>
          </w:tcPr>
          <w:p w14:paraId="79DEB9E3" w14:textId="7C537815" w:rsidR="00715A1F" w:rsidRDefault="00000000">
            <w:pPr>
              <w:spacing w:before="65" w:line="600" w:lineRule="exact"/>
              <w:ind w:right="-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三类车：皮卡，四驱，排量2.0T及以上，如</w:t>
            </w:r>
            <w:proofErr w:type="gramStart"/>
            <w:r>
              <w:rPr>
                <w:rFonts w:ascii="仿宋_GB2312" w:eastAsia="仿宋_GB2312" w:hAnsi="仿宋_GB2312" w:cs="仿宋_GB2312" w:hint="eastAsia"/>
                <w:sz w:val="28"/>
                <w:szCs w:val="28"/>
              </w:rPr>
              <w:t>长城风骏</w:t>
            </w:r>
            <w:proofErr w:type="gramEnd"/>
            <w:r>
              <w:rPr>
                <w:rFonts w:ascii="仿宋_GB2312" w:eastAsia="仿宋_GB2312" w:hAnsi="仿宋_GB2312" w:cs="仿宋_GB2312" w:hint="eastAsia"/>
                <w:sz w:val="28"/>
                <w:szCs w:val="28"/>
              </w:rPr>
              <w:t>5、江铃宝典、</w:t>
            </w:r>
            <w:proofErr w:type="gramStart"/>
            <w:r>
              <w:rPr>
                <w:rFonts w:ascii="仿宋_GB2312" w:eastAsia="仿宋_GB2312" w:hAnsi="仿宋_GB2312" w:cs="仿宋_GB2312" w:hint="eastAsia"/>
                <w:sz w:val="28"/>
                <w:szCs w:val="28"/>
              </w:rPr>
              <w:t>金钢</w:t>
            </w:r>
            <w:proofErr w:type="gramEnd"/>
            <w:r>
              <w:rPr>
                <w:rFonts w:ascii="仿宋_GB2312" w:eastAsia="仿宋_GB2312" w:hAnsi="仿宋_GB2312" w:cs="仿宋_GB2312" w:hint="eastAsia"/>
                <w:sz w:val="28"/>
                <w:szCs w:val="28"/>
              </w:rPr>
              <w:t>炮等，</w:t>
            </w:r>
            <w:r w:rsidRPr="005E748E">
              <w:rPr>
                <w:rFonts w:ascii="仿宋_GB2312" w:eastAsia="仿宋_GB2312" w:hAnsi="仿宋_GB2312" w:cs="仿宋_GB2312" w:hint="eastAsia"/>
                <w:b/>
                <w:bCs/>
                <w:sz w:val="28"/>
                <w:szCs w:val="28"/>
              </w:rPr>
              <w:t>提供不少于10台车辆资料</w:t>
            </w:r>
            <w:r w:rsidR="005E748E">
              <w:rPr>
                <w:rFonts w:ascii="仿宋_GB2312" w:eastAsia="仿宋_GB2312" w:hAnsi="仿宋_GB2312" w:cs="仿宋_GB2312" w:hint="eastAsia"/>
                <w:b/>
                <w:bCs/>
                <w:sz w:val="28"/>
                <w:szCs w:val="28"/>
              </w:rPr>
              <w:t>（包括</w:t>
            </w:r>
            <w:r w:rsidR="005E748E" w:rsidRPr="005E748E">
              <w:rPr>
                <w:rFonts w:ascii="仿宋_GB2312" w:eastAsia="仿宋_GB2312" w:hAnsi="仿宋_GB2312" w:cs="仿宋_GB2312" w:hint="eastAsia"/>
                <w:b/>
                <w:bCs/>
                <w:sz w:val="28"/>
                <w:szCs w:val="28"/>
              </w:rPr>
              <w:t>行驶证正副本、车辆型号、车辆照片（缺一不可）</w:t>
            </w:r>
            <w:r w:rsidR="005E748E">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w:t>
            </w:r>
          </w:p>
        </w:tc>
        <w:tc>
          <w:tcPr>
            <w:tcW w:w="1485" w:type="dxa"/>
            <w:vMerge/>
          </w:tcPr>
          <w:p w14:paraId="513B3D70" w14:textId="77777777" w:rsidR="00715A1F" w:rsidRDefault="00715A1F">
            <w:pPr>
              <w:pStyle w:val="a8"/>
              <w:spacing w:before="0" w:beforeAutospacing="0" w:after="0" w:afterAutospacing="0" w:line="600" w:lineRule="exact"/>
              <w:jc w:val="center"/>
              <w:rPr>
                <w:rFonts w:hint="eastAsia"/>
                <w:sz w:val="21"/>
                <w:szCs w:val="21"/>
              </w:rPr>
            </w:pPr>
          </w:p>
        </w:tc>
      </w:tr>
      <w:tr w:rsidR="00715A1F" w14:paraId="450F48C6" w14:textId="77777777">
        <w:trPr>
          <w:trHeight w:val="688"/>
        </w:trPr>
        <w:tc>
          <w:tcPr>
            <w:tcW w:w="8490" w:type="dxa"/>
            <w:gridSpan w:val="2"/>
            <w:vAlign w:val="center"/>
          </w:tcPr>
          <w:p w14:paraId="06F0B4BB" w14:textId="77777777" w:rsidR="00715A1F" w:rsidRDefault="00000000">
            <w:pPr>
              <w:spacing w:line="600" w:lineRule="exact"/>
              <w:rPr>
                <w:szCs w:val="21"/>
              </w:rPr>
            </w:pPr>
            <w:r>
              <w:rPr>
                <w:rFonts w:ascii="仿宋_GB2312" w:eastAsia="仿宋_GB2312" w:hAnsi="仿宋_GB2312" w:cs="仿宋_GB2312" w:hint="eastAsia"/>
                <w:sz w:val="28"/>
                <w:szCs w:val="28"/>
              </w:rPr>
              <w:t>说明：文件中未列入的车型，供应商可提供类似于采购方指定参考车型的车辆（类似车型说明：供应商提供类似于采购方指定参考车型的车辆，其价格和排量应优于或相当于采购方指定参考车型，并提供相关证明材料）</w:t>
            </w:r>
          </w:p>
        </w:tc>
      </w:tr>
    </w:tbl>
    <w:p w14:paraId="259FC10C" w14:textId="77777777" w:rsidR="00715A1F" w:rsidRDefault="00000000">
      <w:pPr>
        <w:pStyle w:val="20"/>
        <w:spacing w:before="0" w:after="0" w:line="600" w:lineRule="exact"/>
        <w:ind w:firstLineChars="200" w:firstLine="640"/>
        <w:rPr>
          <w:rFonts w:ascii="黑体" w:eastAsia="黑体" w:hAnsi="黑体" w:cs="黑体" w:hint="eastAsia"/>
          <w:b w:val="0"/>
          <w:bCs w:val="0"/>
        </w:rPr>
      </w:pPr>
      <w:r>
        <w:rPr>
          <w:rFonts w:ascii="黑体" w:eastAsia="黑体" w:hAnsi="黑体" w:cs="黑体" w:hint="eastAsia"/>
          <w:b w:val="0"/>
          <w:bCs w:val="0"/>
        </w:rPr>
        <w:t>二、供应商要求</w:t>
      </w:r>
      <w:bookmarkEnd w:id="2"/>
      <w:bookmarkEnd w:id="3"/>
    </w:p>
    <w:p w14:paraId="2958340B"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1.供应商具备有效的《道路运输经营许可证》。</w:t>
      </w:r>
    </w:p>
    <w:p w14:paraId="12521183" w14:textId="1925F0B9" w:rsidR="00715A1F" w:rsidRDefault="00000000">
      <w:pPr>
        <w:spacing w:line="600" w:lineRule="exact"/>
        <w:ind w:firstLineChars="200" w:firstLine="640"/>
        <w:rPr>
          <w:rFonts w:hAnsi="仿宋_GB2312" w:cs="仿宋_GB2312" w:hint="eastAsia"/>
          <w:szCs w:val="32"/>
        </w:rPr>
      </w:pPr>
      <w:r>
        <w:rPr>
          <w:rFonts w:ascii="仿宋_GB2312" w:eastAsia="仿宋_GB2312" w:hAnsi="仿宋_GB2312" w:cs="仿宋_GB2312" w:hint="eastAsia"/>
          <w:sz w:val="32"/>
          <w:szCs w:val="32"/>
        </w:rPr>
        <w:t>2.供应商必须在文件中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承诺：全部车辆必须是己方名下营运车辆或已依法办理租赁合同的车辆</w:t>
      </w:r>
      <w:r w:rsidR="00712327" w:rsidRPr="00712327">
        <w:rPr>
          <w:rFonts w:ascii="仿宋_GB2312" w:eastAsia="仿宋_GB2312" w:hAnsi="仿宋_GB2312" w:cs="仿宋_GB2312" w:hint="eastAsia"/>
          <w:b/>
          <w:bCs/>
          <w:sz w:val="32"/>
          <w:szCs w:val="32"/>
        </w:rPr>
        <w:t>（提供承诺书，格式自拟）</w:t>
      </w:r>
      <w:r>
        <w:rPr>
          <w:rFonts w:ascii="仿宋_GB2312" w:eastAsia="仿宋_GB2312" w:hAnsi="仿宋_GB2312" w:cs="仿宋_GB2312" w:hint="eastAsia"/>
          <w:sz w:val="32"/>
          <w:szCs w:val="32"/>
        </w:rPr>
        <w:t>。</w:t>
      </w:r>
      <w:r>
        <w:rPr>
          <w:rFonts w:hAnsi="仿宋_GB2312" w:cs="仿宋_GB2312"/>
          <w:szCs w:val="32"/>
        </w:rPr>
        <w:t xml:space="preserve"> </w:t>
      </w:r>
    </w:p>
    <w:p w14:paraId="0E326640"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3.供应商应具有与租赁车辆数量相对应的驾驶员队伍，</w:t>
      </w:r>
      <w:r w:rsidRPr="00712327">
        <w:rPr>
          <w:rFonts w:ascii="仿宋_GB2312" w:eastAsia="仿宋_GB2312" w:hAnsi="仿宋_GB2312" w:cs="仿宋_GB2312" w:hint="eastAsia"/>
          <w:b/>
          <w:bCs/>
          <w:sz w:val="32"/>
          <w:szCs w:val="32"/>
        </w:rPr>
        <w:t>提供驾驶员人员清单，且提供不少于10人近半年任意两个月按时缴纳社会保障资金的缴费凭证或证明文件（复印件加盖供应商公章）</w:t>
      </w:r>
      <w:r>
        <w:rPr>
          <w:rFonts w:ascii="仿宋_GB2312" w:eastAsia="仿宋_GB2312" w:hAnsi="仿宋_GB2312" w:cs="仿宋_GB2312" w:hint="eastAsia"/>
          <w:sz w:val="32"/>
          <w:szCs w:val="32"/>
        </w:rPr>
        <w:t>。</w:t>
      </w:r>
    </w:p>
    <w:p w14:paraId="0BE04530"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4.供应商有相关车辆维修保养管理规范，有专业固定的维修保养定点场所。</w:t>
      </w:r>
    </w:p>
    <w:p w14:paraId="49A9256A" w14:textId="77777777" w:rsidR="00715A1F" w:rsidRDefault="00000000">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5.租赁期间供应商对车辆使用情况实施监督。</w:t>
      </w:r>
    </w:p>
    <w:p w14:paraId="664AE484" w14:textId="77777777" w:rsidR="00715A1F" w:rsidRDefault="00000000">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6.供应商须保证租赁车辆状况良好，符合安全驾驶条件，各种证照、保险齐全。</w:t>
      </w:r>
    </w:p>
    <w:p w14:paraId="001A7676" w14:textId="77777777" w:rsidR="00715A1F" w:rsidRDefault="00000000">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bookmarkStart w:id="4" w:name="_Hlk90994138"/>
      <w:r>
        <w:rPr>
          <w:rFonts w:ascii="仿宋_GB2312" w:eastAsia="仿宋_GB2312" w:hAnsi="仿宋_GB2312" w:cs="仿宋_GB2312" w:hint="eastAsia"/>
          <w:sz w:val="32"/>
          <w:szCs w:val="32"/>
        </w:rPr>
        <w:t>.采购方仅负责使用车辆时按实际使用天数计算所产生的</w:t>
      </w:r>
      <w:r>
        <w:rPr>
          <w:rFonts w:ascii="仿宋_GB2312" w:eastAsia="仿宋_GB2312" w:hAnsi="仿宋_GB2312" w:cs="仿宋_GB2312" w:hint="eastAsia"/>
          <w:sz w:val="32"/>
          <w:szCs w:val="32"/>
        </w:rPr>
        <w:lastRenderedPageBreak/>
        <w:t>租金及其过路过桥费、燃油费、停车费，其他所有费用（如车辆维修、保养、年检、保险、税费、交通事故处理费用及由此产生的费用、合同实施过程中应预见和不可预见费等全部费用）均由供应商负责。</w:t>
      </w:r>
    </w:p>
    <w:bookmarkEnd w:id="4"/>
    <w:p w14:paraId="25A60EC6"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供应商应做好驾驶员管理工作，签订相关保密协议，有专门的安全管理机构，定期对驾驶员开展安全教育，对每个驾驶员进行岗前素质培训，传达、学习有关安全、文明营运文件，对驾驶员的安全行车提出具体要求，清除事故隐患，开好安全车。</w:t>
      </w:r>
    </w:p>
    <w:p w14:paraId="2D83AFB0"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供应商应设置车辆租赁服务团队，公布服务电话、投诉电话，服务电话24小时有人值班。应及时受理采购方的业务咨询办理，采购方可定期回访以及暗访、跟踪服务、提出质疑和投诉，供应商在受理投诉24小时内，了解核实情况，迅速整改，并在7天之内将处理意见及整改措施报采购方单位。</w:t>
      </w:r>
    </w:p>
    <w:p w14:paraId="08F6B725" w14:textId="77777777" w:rsidR="00715A1F" w:rsidRDefault="00000000">
      <w:pPr>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供应商应</w:t>
      </w:r>
      <w:proofErr w:type="gramStart"/>
      <w:r>
        <w:rPr>
          <w:rFonts w:ascii="仿宋_GB2312" w:eastAsia="仿宋_GB2312" w:hAnsi="仿宋_GB2312" w:cs="仿宋_GB2312" w:hint="eastAsia"/>
          <w:b/>
          <w:bCs/>
          <w:sz w:val="32"/>
          <w:szCs w:val="32"/>
        </w:rPr>
        <w:t>作出</w:t>
      </w:r>
      <w:proofErr w:type="gramEnd"/>
      <w:r>
        <w:rPr>
          <w:rFonts w:ascii="仿宋_GB2312" w:eastAsia="仿宋_GB2312" w:hAnsi="仿宋_GB2312" w:cs="仿宋_GB2312" w:hint="eastAsia"/>
          <w:b/>
          <w:bCs/>
          <w:sz w:val="32"/>
          <w:szCs w:val="32"/>
        </w:rPr>
        <w:t>以下承诺：</w:t>
      </w:r>
    </w:p>
    <w:p w14:paraId="26A5D378"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1.在提供用车租赁时，做到安全行驶、准点到达、服务优良、遵纪守法。</w:t>
      </w:r>
    </w:p>
    <w:p w14:paraId="38471180"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2.供应商应制定严格的安全生产管理制度，编制安全生产操作规程，并严格执行。安全生产管理制度至少包括以下内容：驾驶员管理、车辆管理、动态监控、运输组织等。</w:t>
      </w:r>
    </w:p>
    <w:p w14:paraId="0E114779"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3.供应商须完善、改进、维护安全运营设施设备，配备应急救援器材、设备，开展安全生产教育、培训，开展应急求援演练</w:t>
      </w:r>
      <w:r>
        <w:rPr>
          <w:rFonts w:ascii="仿宋_GB2312" w:eastAsia="仿宋_GB2312" w:hAnsi="仿宋_GB2312" w:cs="仿宋_GB2312" w:hint="eastAsia"/>
          <w:sz w:val="32"/>
          <w:szCs w:val="32"/>
        </w:rPr>
        <w:lastRenderedPageBreak/>
        <w:t>等。</w:t>
      </w:r>
    </w:p>
    <w:p w14:paraId="76BB7762" w14:textId="77777777" w:rsidR="00715A1F" w:rsidRDefault="00000000">
      <w:pPr>
        <w:pStyle w:val="2"/>
        <w:ind w:leftChars="0" w:left="0" w:firstLine="0"/>
        <w:rPr>
          <w:rFonts w:eastAsia="仿宋_GB2312"/>
        </w:rPr>
      </w:pPr>
      <w:r>
        <w:rPr>
          <w:rFonts w:ascii="仿宋_GB2312" w:eastAsia="仿宋_GB2312" w:hAnsi="仿宋_GB2312" w:cs="仿宋_GB2312" w:hint="eastAsia"/>
          <w:sz w:val="32"/>
          <w:szCs w:val="32"/>
        </w:rPr>
        <w:t xml:space="preserve">    4.保障区域为华东（上海、江苏、浙江、安徽、福建、江西、山东）、华中（河南、湖北、湖南）、华南（广东、广西、海南）共13个省（直辖市），供应商必须无条件配合采购方用车安排，涉及到短期用车或用车期间临时退租时，</w:t>
      </w:r>
      <w:r w:rsidRPr="00DA27CF">
        <w:rPr>
          <w:rFonts w:ascii="仿宋_GB2312" w:eastAsia="仿宋_GB2312" w:hAnsi="仿宋_GB2312" w:cs="仿宋_GB2312" w:hint="eastAsia"/>
          <w:b/>
          <w:bCs/>
          <w:sz w:val="32"/>
          <w:szCs w:val="32"/>
        </w:rPr>
        <w:t>供应商不得以任何理由拒绝服务并提供承诺书</w:t>
      </w:r>
      <w:r>
        <w:rPr>
          <w:rFonts w:ascii="仿宋_GB2312" w:eastAsia="仿宋_GB2312" w:hAnsi="仿宋_GB2312" w:cs="仿宋_GB2312" w:hint="eastAsia"/>
          <w:sz w:val="32"/>
          <w:szCs w:val="32"/>
        </w:rPr>
        <w:t>。</w:t>
      </w:r>
    </w:p>
    <w:p w14:paraId="396E59F4" w14:textId="1B86D3C0" w:rsidR="00715A1F" w:rsidRDefault="00000000">
      <w:pPr>
        <w:pStyle w:val="20"/>
        <w:spacing w:before="0" w:after="0" w:line="600" w:lineRule="exact"/>
        <w:ind w:firstLineChars="200" w:firstLine="640"/>
        <w:rPr>
          <w:rFonts w:ascii="黑体" w:eastAsia="黑体" w:hAnsi="黑体" w:cs="黑体" w:hint="eastAsia"/>
          <w:b w:val="0"/>
          <w:bCs w:val="0"/>
        </w:rPr>
      </w:pPr>
      <w:bookmarkStart w:id="5" w:name="_Toc2035"/>
      <w:bookmarkStart w:id="6" w:name="_Toc28580"/>
      <w:r>
        <w:rPr>
          <w:rFonts w:ascii="黑体" w:eastAsia="黑体" w:hAnsi="黑体" w:cs="黑体" w:hint="eastAsia"/>
          <w:b w:val="0"/>
          <w:bCs w:val="0"/>
        </w:rPr>
        <w:t>三、提供租赁车辆要求</w:t>
      </w:r>
      <w:bookmarkEnd w:id="5"/>
      <w:bookmarkEnd w:id="6"/>
    </w:p>
    <w:p w14:paraId="4F0CE869"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1.野外工作车辆为越野车（含皮卡）并适合野外工作，车况好，性能佳，车辆手续和保险齐全，须具备车身稳定控制ESP/DSC等，配备安全气囊。安全标准需符合相关规定及要求，并由第三</w:t>
      </w:r>
      <w:proofErr w:type="gramStart"/>
      <w:r>
        <w:rPr>
          <w:rFonts w:ascii="仿宋_GB2312" w:eastAsia="仿宋_GB2312" w:hAnsi="仿宋_GB2312" w:cs="仿宋_GB2312" w:hint="eastAsia"/>
          <w:sz w:val="32"/>
          <w:szCs w:val="32"/>
        </w:rPr>
        <w:t>方专业</w:t>
      </w:r>
      <w:proofErr w:type="gramEnd"/>
      <w:r>
        <w:rPr>
          <w:rFonts w:ascii="仿宋_GB2312" w:eastAsia="仿宋_GB2312" w:hAnsi="仿宋_GB2312" w:cs="仿宋_GB2312" w:hint="eastAsia"/>
          <w:sz w:val="32"/>
          <w:szCs w:val="32"/>
        </w:rPr>
        <w:t>检测机构出具的车辆安全技术检验合格报告。车辆应配备导航、行车记录仪等装置，新能源车辆不做考虑。</w:t>
      </w:r>
    </w:p>
    <w:p w14:paraId="42C1406E" w14:textId="1E762300" w:rsidR="00715A1F" w:rsidRDefault="00000000">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Pr="00F91776">
        <w:rPr>
          <w:rFonts w:ascii="仿宋_GB2312" w:eastAsia="仿宋_GB2312" w:hAnsi="仿宋_GB2312" w:cs="仿宋_GB2312" w:hint="eastAsia"/>
          <w:b/>
          <w:bCs/>
          <w:sz w:val="32"/>
          <w:szCs w:val="32"/>
        </w:rPr>
        <w:t>全部车辆必须是上牌不超过6年、行驶里程不超过15万公里的车辆（以行驶证登记日期至项目开标之日计）</w:t>
      </w:r>
      <w:r>
        <w:rPr>
          <w:rFonts w:ascii="仿宋_GB2312" w:eastAsia="仿宋_GB2312" w:hAnsi="仿宋_GB2312" w:cs="仿宋_GB2312" w:hint="eastAsia"/>
          <w:sz w:val="32"/>
          <w:szCs w:val="32"/>
        </w:rPr>
        <w:t>。车辆除交通强制险外，险种必须有：商业第三者责任保险（150万以上）、车损险、不计免赔险、按每个座位不低于20万元的乘员险等，并使之在合同履行完毕之前持续有效。供应商针对以上内容提供承诺书。</w:t>
      </w:r>
    </w:p>
    <w:p w14:paraId="4912DF9B"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bookmarkStart w:id="7" w:name="_Toc5312"/>
      <w:bookmarkStart w:id="8" w:name="_Toc4594"/>
      <w:r>
        <w:rPr>
          <w:rFonts w:ascii="仿宋_GB2312" w:eastAsia="仿宋_GB2312" w:hAnsi="仿宋_GB2312" w:cs="仿宋_GB2312" w:hint="eastAsia"/>
          <w:sz w:val="32"/>
          <w:szCs w:val="32"/>
        </w:rPr>
        <w:t>.车辆证照齐全，来源合法，按照国家有关部门要求及时进行车辆维护和检验，车辆内外部保持卫生、整洁，车容美观，年</w:t>
      </w:r>
      <w:r>
        <w:rPr>
          <w:rFonts w:ascii="仿宋_GB2312" w:eastAsia="仿宋_GB2312" w:hAnsi="仿宋_GB2312" w:cs="仿宋_GB2312" w:hint="eastAsia"/>
          <w:sz w:val="32"/>
          <w:szCs w:val="32"/>
        </w:rPr>
        <w:lastRenderedPageBreak/>
        <w:t>检合格。</w:t>
      </w:r>
    </w:p>
    <w:p w14:paraId="134CCE05"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4.提供服务的车辆必须配备必要的安全设施（如灭火器、皮卡需贴反光条等）；随车工具齐全(包括三脚架、警示牌、安全锤、千斤顶等)。</w:t>
      </w:r>
    </w:p>
    <w:p w14:paraId="519666E6"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5.供应商若无法提供采购方参考车型，可提供类似车型（类似车型说明：中标方提供类似于采购方指定参考车型的车辆，其价格和排量应优于或相当于采购方指定参考车型，并提供相关证明材料）。</w:t>
      </w:r>
    </w:p>
    <w:p w14:paraId="23FD303F" w14:textId="77777777" w:rsidR="00715A1F" w:rsidRDefault="00000000">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四、驾驶员要求</w:t>
      </w:r>
      <w:bookmarkEnd w:id="7"/>
      <w:bookmarkEnd w:id="8"/>
    </w:p>
    <w:p w14:paraId="5D49BD67" w14:textId="77777777" w:rsidR="00715A1F" w:rsidRDefault="00000000">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1.车辆驾驶员须由</w:t>
      </w:r>
      <w:r>
        <w:rPr>
          <w:rFonts w:ascii="仿宋_GB2312" w:eastAsia="仿宋_GB2312" w:hAnsi="仿宋_GB2312" w:cs="仿宋_GB2312" w:hint="eastAsia"/>
          <w:sz w:val="32"/>
          <w:szCs w:val="32"/>
        </w:rPr>
        <w:t>供应商</w:t>
      </w:r>
      <w:r>
        <w:rPr>
          <w:rFonts w:ascii="仿宋_GB2312" w:eastAsia="仿宋_GB2312" w:hAnsi="仿宋_GB2312" w:cs="仿宋_GB2312" w:hint="eastAsia"/>
          <w:bCs/>
          <w:sz w:val="32"/>
          <w:szCs w:val="32"/>
        </w:rPr>
        <w:t>聘用，</w:t>
      </w:r>
      <w:r>
        <w:rPr>
          <w:rFonts w:ascii="仿宋_GB2312" w:eastAsia="仿宋_GB2312" w:hAnsi="仿宋_GB2312" w:cs="仿宋_GB2312" w:hint="eastAsia"/>
          <w:sz w:val="32"/>
          <w:szCs w:val="32"/>
        </w:rPr>
        <w:t>要求为男性，</w:t>
      </w:r>
      <w:r>
        <w:rPr>
          <w:rFonts w:ascii="仿宋_GB2312" w:eastAsia="仿宋_GB2312" w:hAnsi="仿宋_GB2312" w:cs="仿宋_GB2312" w:hint="eastAsia"/>
          <w:bCs/>
          <w:sz w:val="32"/>
          <w:szCs w:val="32"/>
        </w:rPr>
        <w:t>驾龄必须满足5年以上，驾驶证准驾车型与租用车辆相匹配，语言沟通无障碍、服从采购方管理、调度等条件。</w:t>
      </w:r>
    </w:p>
    <w:p w14:paraId="2E2CEB36"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2.驾驶员年龄</w:t>
      </w:r>
      <w:r>
        <w:rPr>
          <w:rFonts w:ascii="仿宋_GB2312" w:eastAsia="仿宋_GB2312" w:hAnsi="仿宋_GB2312" w:cs="仿宋_GB2312" w:hint="eastAsia"/>
          <w:sz w:val="32"/>
          <w:szCs w:val="32"/>
        </w:rPr>
        <w:t>25-55周岁，身体健康，无传染病或其他疾病史，无危险驾驶记录（酒后驾驶、交通肇事逃逸等），3年内无重大交通事故，无犯罪记录，无吸毒史，供应商需提交驾驶员体检合格报告。驾驶员需体貌端正，无明显纹身，无怪异造型及打扮，生活习惯良好。</w:t>
      </w:r>
    </w:p>
    <w:p w14:paraId="0873A2B2"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3.提供服务的驾驶员必须与采购方签订相关劳动合同，有从事该业务的相关资质，证照齐全，文明上岗，诚信守时，作风正派，有较强的服务意识和保密意识等。</w:t>
      </w:r>
    </w:p>
    <w:p w14:paraId="5DDA06A4"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4.驾驶员要服从野外项目组工作安排，每日出车前提前对车</w:t>
      </w:r>
      <w:r>
        <w:rPr>
          <w:rFonts w:ascii="仿宋_GB2312" w:eastAsia="仿宋_GB2312" w:hAnsi="仿宋_GB2312" w:cs="仿宋_GB2312" w:hint="eastAsia"/>
          <w:sz w:val="32"/>
          <w:szCs w:val="32"/>
        </w:rPr>
        <w:lastRenderedPageBreak/>
        <w:t>辆进行检修，并根据各野外项目组要求（安全行车前提下）到达指定工作点。</w:t>
      </w:r>
    </w:p>
    <w:p w14:paraId="58AE6882"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5.驾驶员要按规章制度安全行车，作业期间非采购方原因发生的事故及造成的人员伤亡或财产损失由供应商负责。</w:t>
      </w:r>
    </w:p>
    <w:p w14:paraId="5CA758F8" w14:textId="77777777" w:rsidR="00715A1F" w:rsidRDefault="00000000">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6.驾驶员保险由供应商按国家相关规定负责办理。</w:t>
      </w:r>
    </w:p>
    <w:p w14:paraId="5675F5DC" w14:textId="77777777" w:rsidR="00715A1F" w:rsidRDefault="00000000">
      <w:pPr>
        <w:pStyle w:val="20"/>
        <w:spacing w:before="0" w:after="0" w:line="600" w:lineRule="exact"/>
        <w:ind w:firstLineChars="200" w:firstLine="640"/>
        <w:rPr>
          <w:rFonts w:ascii="黑体" w:eastAsia="黑体" w:hAnsi="黑体" w:cs="黑体" w:hint="eastAsia"/>
          <w:b w:val="0"/>
          <w:bCs w:val="0"/>
        </w:rPr>
      </w:pPr>
      <w:bookmarkStart w:id="9" w:name="_Toc10556"/>
      <w:bookmarkStart w:id="10" w:name="_Toc290"/>
      <w:r>
        <w:rPr>
          <w:rFonts w:ascii="黑体" w:eastAsia="黑体" w:hAnsi="黑体" w:cs="黑体" w:hint="eastAsia"/>
          <w:b w:val="0"/>
          <w:bCs w:val="0"/>
        </w:rPr>
        <w:t>五、报价要求</w:t>
      </w:r>
      <w:bookmarkEnd w:id="9"/>
      <w:bookmarkEnd w:id="10"/>
    </w:p>
    <w:p w14:paraId="62C34916" w14:textId="4CFD76B9"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每天租用单价为除租用车辆过路过桥费、燃油费、停车费之外的一切费用，包含驾驶员的工资及食宿费用（含税）</w:t>
      </w:r>
      <w:r w:rsidR="005E748E">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14:paraId="07CF9751" w14:textId="77777777" w:rsidR="00715A1F" w:rsidRDefault="00000000">
      <w:pPr>
        <w:pStyle w:val="20"/>
        <w:spacing w:before="0" w:after="0" w:line="600" w:lineRule="exact"/>
        <w:ind w:firstLineChars="200" w:firstLine="640"/>
        <w:rPr>
          <w:rFonts w:ascii="黑体" w:eastAsia="黑体" w:hAnsi="黑体" w:cs="黑体" w:hint="eastAsia"/>
          <w:b w:val="0"/>
          <w:bCs w:val="0"/>
        </w:rPr>
      </w:pPr>
      <w:bookmarkStart w:id="11" w:name="_Toc18543"/>
      <w:bookmarkStart w:id="12" w:name="_Toc21842"/>
      <w:r>
        <w:rPr>
          <w:rFonts w:ascii="黑体" w:eastAsia="黑体" w:hAnsi="黑体" w:cs="黑体" w:hint="eastAsia"/>
          <w:b w:val="0"/>
          <w:bCs w:val="0"/>
        </w:rPr>
        <w:t>六、车辆使用计量</w:t>
      </w:r>
      <w:bookmarkEnd w:id="11"/>
      <w:bookmarkEnd w:id="12"/>
    </w:p>
    <w:p w14:paraId="63680E62" w14:textId="77777777" w:rsidR="00715A1F" w:rsidRDefault="00000000">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1.车辆服务起始时间、里程按车辆到达采购方指定服务地点，使用人员上车后开始计算里程和天数。</w:t>
      </w:r>
    </w:p>
    <w:p w14:paraId="7CEE1C28" w14:textId="77777777" w:rsidR="00715A1F" w:rsidRDefault="00000000">
      <w:pPr>
        <w:spacing w:line="600" w:lineRule="exact"/>
        <w:ind w:firstLineChars="200" w:firstLine="640"/>
      </w:pPr>
      <w:r>
        <w:rPr>
          <w:rFonts w:ascii="仿宋_GB2312" w:eastAsia="仿宋_GB2312" w:hAnsi="仿宋_GB2312" w:cs="仿宋_GB2312" w:hint="eastAsia"/>
          <w:sz w:val="32"/>
          <w:szCs w:val="32"/>
        </w:rPr>
        <w:t>2.车辆起租/退租地点原则上为中国地质调查局长沙自然资源综合调查中心或采购方指定长沙市内任意地区，如起租/退租地点为异地（长沙市以外地区）且供应商提供驾驶员的，采购方应于用车开始前通知供应商。异地送车/还车路程1000公里以内的，租赁时限按自起租之日起增加1天计算；超出1000公里的，按增加2天封顶计算。采购方不承担送车/还车前的车辆所可能产生的费用（租用车辆过路过桥费、燃油费、停车费等）。</w:t>
      </w:r>
    </w:p>
    <w:p w14:paraId="743FF422" w14:textId="77777777" w:rsidR="00715A1F" w:rsidRDefault="00000000">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3.车辆使用结束后由采购方的使用人员对车辆使用里程、天数予以签字确认。</w:t>
      </w:r>
    </w:p>
    <w:p w14:paraId="13CD1FB3" w14:textId="77777777" w:rsidR="00715A1F" w:rsidRDefault="00000000">
      <w:pPr>
        <w:tabs>
          <w:tab w:val="center" w:pos="4153"/>
          <w:tab w:val="right" w:pos="8306"/>
        </w:tabs>
        <w:adjustRightInd w:val="0"/>
        <w:snapToGrid w:val="0"/>
        <w:spacing w:line="600" w:lineRule="exact"/>
        <w:ind w:firstLineChars="200" w:firstLine="640"/>
        <w:textAlignment w:val="baseline"/>
        <w:outlineLvl w:val="1"/>
        <w:rPr>
          <w:rFonts w:ascii="黑体" w:eastAsia="黑体" w:hAnsi="黑体" w:cs="黑体" w:hint="eastAsia"/>
          <w:bCs/>
          <w:sz w:val="32"/>
          <w:szCs w:val="32"/>
        </w:rPr>
      </w:pPr>
      <w:bookmarkStart w:id="13" w:name="_Toc73353865"/>
      <w:r>
        <w:rPr>
          <w:rFonts w:ascii="黑体" w:eastAsia="黑体" w:hAnsi="黑体" w:cs="黑体" w:hint="eastAsia"/>
          <w:bCs/>
          <w:sz w:val="32"/>
          <w:szCs w:val="32"/>
        </w:rPr>
        <w:t>七、商务要求</w:t>
      </w:r>
      <w:bookmarkEnd w:id="13"/>
    </w:p>
    <w:p w14:paraId="31816237" w14:textId="77777777" w:rsidR="00715A1F" w:rsidRDefault="00000000">
      <w:pPr>
        <w:tabs>
          <w:tab w:val="center" w:pos="709"/>
          <w:tab w:val="right" w:pos="8306"/>
        </w:tabs>
        <w:adjustRightInd w:val="0"/>
        <w:snapToGrid w:val="0"/>
        <w:spacing w:line="60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1.服务期：自合同签订之日起至2025年4月30日。</w:t>
      </w:r>
    </w:p>
    <w:p w14:paraId="26192644" w14:textId="77777777" w:rsidR="00715A1F" w:rsidRDefault="00000000">
      <w:pPr>
        <w:pStyle w:val="1"/>
        <w:spacing w:before="0" w:after="0" w:line="600" w:lineRule="exact"/>
        <w:ind w:firstLineChars="200" w:firstLine="640"/>
        <w:jc w:val="left"/>
        <w:rPr>
          <w:rFonts w:ascii="仿宋_GB2312" w:eastAsia="仿宋_GB2312" w:hAnsi="仿宋_GB2312" w:cs="仿宋_GB2312" w:hint="eastAsia"/>
          <w:b w:val="0"/>
          <w:bCs w:val="0"/>
          <w:sz w:val="32"/>
          <w:szCs w:val="32"/>
        </w:rPr>
      </w:pPr>
      <w:r>
        <w:rPr>
          <w:rFonts w:ascii="仿宋_GB2312" w:eastAsia="仿宋_GB2312" w:hAnsi="仿宋_GB2312" w:cs="仿宋_GB2312" w:hint="eastAsia"/>
          <w:b w:val="0"/>
          <w:bCs w:val="0"/>
          <w:sz w:val="32"/>
          <w:szCs w:val="32"/>
        </w:rPr>
        <w:t>2.付款方式：每月（按30天算）乙方凭发票和双方确认的相关凭据、资料与甲方结算，采购方以银行转账等非现金方式支付供应商车辆租赁费用。</w:t>
      </w:r>
    </w:p>
    <w:p w14:paraId="36E64FC8" w14:textId="77777777" w:rsidR="00715A1F" w:rsidRDefault="00000000">
      <w:pPr>
        <w:pStyle w:val="1"/>
        <w:spacing w:before="0" w:after="0" w:line="600" w:lineRule="exact"/>
        <w:ind w:firstLineChars="200" w:firstLine="640"/>
        <w:jc w:val="left"/>
        <w:rPr>
          <w:rFonts w:ascii="黑体" w:eastAsia="黑体" w:hAnsi="黑体" w:cs="黑体" w:hint="eastAsia"/>
          <w:b w:val="0"/>
          <w:bCs w:val="0"/>
          <w:kern w:val="0"/>
          <w:sz w:val="32"/>
          <w:szCs w:val="32"/>
        </w:rPr>
      </w:pPr>
      <w:r>
        <w:rPr>
          <w:rFonts w:ascii="黑体" w:eastAsia="黑体" w:hAnsi="黑体" w:cs="黑体" w:hint="eastAsia"/>
          <w:b w:val="0"/>
          <w:bCs w:val="0"/>
          <w:kern w:val="0"/>
          <w:sz w:val="32"/>
          <w:szCs w:val="32"/>
        </w:rPr>
        <w:t>八、其他</w:t>
      </w:r>
    </w:p>
    <w:p w14:paraId="1BDAFC6F" w14:textId="77777777" w:rsidR="00715A1F" w:rsidRDefault="00000000">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1.本次入围供应商仅取得向采购方提供车辆租赁服务的资格，采购方不对实际采购服务数量作任何承诺。</w:t>
      </w:r>
    </w:p>
    <w:p w14:paraId="17497CAA" w14:textId="77777777" w:rsidR="00715A1F" w:rsidRDefault="00000000">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2.供应商应考虑政策性风险、市场风险等，且在今后合同执行过程中不得因此要求加价。</w:t>
      </w:r>
    </w:p>
    <w:p w14:paraId="56BA6FE4"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车辆租赁期间，出现机械故障等情况，供应商应及时提供救援服务，供应商在2小时内必须做出响应，若不能在1个工作日内修复，供应商须在5日之内将同等档次替换车辆供采购方使用，由此产生的额外费用由供应商负责。</w:t>
      </w:r>
    </w:p>
    <w:p w14:paraId="7D133D92"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4.采购方对随车驾驶员在服务过程中有管理权，在无法满足我方的要求时，可要求供应商对驾驶员进行调整。</w:t>
      </w:r>
    </w:p>
    <w:p w14:paraId="11D89433"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5.供应商应指定1-3名管理经验丰富、沟通能力良好的客服，便于后期交流沟通。</w:t>
      </w:r>
    </w:p>
    <w:p w14:paraId="57CD93E8"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6.在合同期内，如果采购方因上级政策调整，在提前1个月向供应商书面提出提前终止租赁要求，供应商基于相互支持的原则，同意无条件予以接受，同时不要求采购方承担任何责任。</w:t>
      </w:r>
    </w:p>
    <w:p w14:paraId="07790467" w14:textId="77777777" w:rsidR="00715A1F"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7.供应商所提供的车辆和驾驶员不符合要求的，供应商须在</w:t>
      </w:r>
      <w:r>
        <w:rPr>
          <w:rFonts w:ascii="仿宋_GB2312" w:eastAsia="仿宋_GB2312" w:hAnsi="仿宋_GB2312" w:cs="仿宋_GB2312" w:hint="eastAsia"/>
          <w:sz w:val="32"/>
          <w:szCs w:val="32"/>
        </w:rPr>
        <w:lastRenderedPageBreak/>
        <w:t>5天内更换车辆和驾驶员（过程中产生的一切费用由供应商自己承担），否则采购方不予以支付租车（含驾驶员）等相关费用。</w:t>
      </w:r>
    </w:p>
    <w:p w14:paraId="4B91612C" w14:textId="77777777" w:rsidR="00715A1F" w:rsidRDefault="00715A1F">
      <w:pPr>
        <w:spacing w:line="600" w:lineRule="exact"/>
        <w:rPr>
          <w:color w:val="FF0000"/>
        </w:rPr>
      </w:pPr>
    </w:p>
    <w:sectPr w:rsidR="00715A1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BA11" w14:textId="77777777" w:rsidR="00D6011D" w:rsidRDefault="00D6011D" w:rsidP="00983E5D">
      <w:r>
        <w:separator/>
      </w:r>
    </w:p>
  </w:endnote>
  <w:endnote w:type="continuationSeparator" w:id="0">
    <w:p w14:paraId="4856D1C1" w14:textId="77777777" w:rsidR="00D6011D" w:rsidRDefault="00D6011D" w:rsidP="0098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dobe 黑体 Std R"/>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0E96" w14:textId="77777777" w:rsidR="00D6011D" w:rsidRDefault="00D6011D" w:rsidP="00983E5D">
      <w:r>
        <w:separator/>
      </w:r>
    </w:p>
  </w:footnote>
  <w:footnote w:type="continuationSeparator" w:id="0">
    <w:p w14:paraId="394835F0" w14:textId="77777777" w:rsidR="00D6011D" w:rsidRDefault="00D6011D" w:rsidP="00983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51F7"/>
    <w:multiLevelType w:val="multilevel"/>
    <w:tmpl w:val="0F4B51F7"/>
    <w:lvl w:ilvl="0">
      <w:start w:val="1"/>
      <w:numFmt w:val="chineseCountingThousand"/>
      <w:pStyle w:val="GHC2"/>
      <w:suff w:val="space"/>
      <w:lvlText w:val="第%1章"/>
      <w:lvlJc w:val="left"/>
      <w:pPr>
        <w:ind w:left="2134" w:hanging="432"/>
      </w:pPr>
      <w:rPr>
        <w:rFonts w:ascii="Times New Roman" w:hAnsi="Times New Roman" w:cs="Times New Roman" w:hint="eastAsia"/>
        <w:b/>
        <w:bCs w:val="0"/>
        <w:i w:val="0"/>
        <w:iCs w:val="0"/>
        <w:caps w:val="0"/>
        <w:smallCaps w:val="0"/>
        <w:strike w:val="0"/>
        <w:dstrike w:val="0"/>
        <w:snapToGrid w:val="0"/>
        <w:vanish w:val="0"/>
        <w:spacing w:val="0"/>
        <w:position w:val="0"/>
        <w:u w:val="none"/>
        <w:vertAlign w:val="baseline"/>
      </w:rPr>
    </w:lvl>
    <w:lvl w:ilvl="1">
      <w:start w:val="1"/>
      <w:numFmt w:val="decimal"/>
      <w:isLgl/>
      <w:suff w:val="space"/>
      <w:lvlText w:val="%1.%2"/>
      <w:lvlJc w:val="left"/>
      <w:pPr>
        <w:ind w:left="522" w:hanging="576"/>
      </w:pPr>
      <w:rPr>
        <w:rFonts w:ascii="Arial" w:hAnsi="Arial" w:cs="Arial" w:hint="default"/>
        <w:sz w:val="32"/>
        <w:szCs w:val="32"/>
      </w:rPr>
    </w:lvl>
    <w:lvl w:ilvl="2">
      <w:start w:val="1"/>
      <w:numFmt w:val="decimal"/>
      <w:isLgl/>
      <w:suff w:val="space"/>
      <w:lvlText w:val="%1.%2.%3"/>
      <w:lvlJc w:val="left"/>
      <w:pPr>
        <w:ind w:left="666" w:hanging="720"/>
      </w:pPr>
      <w:rPr>
        <w:rFonts w:ascii="Arial" w:eastAsia="宋体" w:hAnsi="Arial" w:cs="Arial" w:hint="default"/>
      </w:rPr>
    </w:lvl>
    <w:lvl w:ilvl="3">
      <w:start w:val="1"/>
      <w:numFmt w:val="decimal"/>
      <w:isLgl/>
      <w:suff w:val="space"/>
      <w:lvlText w:val="%1.%2.%3.%4"/>
      <w:lvlJc w:val="left"/>
      <w:pPr>
        <w:ind w:left="810" w:hanging="864"/>
      </w:pPr>
      <w:rPr>
        <w:rFonts w:ascii="Arial" w:hAnsi="Arial" w:cs="Arial" w:hint="default"/>
      </w:rPr>
    </w:lvl>
    <w:lvl w:ilvl="4">
      <w:start w:val="1"/>
      <w:numFmt w:val="decimal"/>
      <w:isLgl/>
      <w:suff w:val="space"/>
      <w:lvlText w:val="%1.%2.%3.%4.%5"/>
      <w:lvlJc w:val="left"/>
      <w:pPr>
        <w:ind w:left="954" w:hanging="1008"/>
      </w:pPr>
      <w:rPr>
        <w:rFonts w:ascii="Arial" w:eastAsia="楷体_GB2312" w:hAnsi="Arial" w:cs="Arial" w:hint="default"/>
        <w:b/>
        <w:i w:val="0"/>
        <w:spacing w:val="20"/>
        <w:sz w:val="24"/>
      </w:rPr>
    </w:lvl>
    <w:lvl w:ilvl="5">
      <w:start w:val="1"/>
      <w:numFmt w:val="decimal"/>
      <w:isLgl/>
      <w:suff w:val="space"/>
      <w:lvlText w:val="%1.%2.%3.%4.%5.%6"/>
      <w:lvlJc w:val="left"/>
      <w:pPr>
        <w:ind w:left="1152" w:hanging="1152"/>
      </w:pPr>
      <w:rPr>
        <w:rFonts w:hint="eastAsia"/>
      </w:rPr>
    </w:lvl>
    <w:lvl w:ilvl="6">
      <w:start w:val="1"/>
      <w:numFmt w:val="decimal"/>
      <w:isLgl/>
      <w:suff w:val="space"/>
      <w:lvlText w:val="%1.%2.%3.%4.%5.%6.%7"/>
      <w:lvlJc w:val="left"/>
      <w:pPr>
        <w:ind w:left="1242" w:hanging="1296"/>
      </w:pPr>
      <w:rPr>
        <w:rFonts w:hint="eastAsia"/>
      </w:rPr>
    </w:lvl>
    <w:lvl w:ilvl="7">
      <w:start w:val="1"/>
      <w:numFmt w:val="decimal"/>
      <w:isLgl/>
      <w:lvlText w:val="%1.%2.%3.%4.%5.%6.%7.%8"/>
      <w:lvlJc w:val="left"/>
      <w:pPr>
        <w:tabs>
          <w:tab w:val="left" w:pos="1386"/>
        </w:tabs>
        <w:ind w:left="1386" w:hanging="1440"/>
      </w:pPr>
      <w:rPr>
        <w:rFonts w:hint="eastAsia"/>
      </w:rPr>
    </w:lvl>
    <w:lvl w:ilvl="8">
      <w:start w:val="1"/>
      <w:numFmt w:val="decimal"/>
      <w:isLgl/>
      <w:lvlText w:val="%1.%2.%3.%4.%5.%6.%7.%8.%9"/>
      <w:lvlJc w:val="left"/>
      <w:pPr>
        <w:tabs>
          <w:tab w:val="left" w:pos="1530"/>
        </w:tabs>
        <w:ind w:left="1530" w:hanging="1584"/>
      </w:pPr>
      <w:rPr>
        <w:rFonts w:hint="eastAsia"/>
      </w:rPr>
    </w:lvl>
  </w:abstractNum>
  <w:num w:numId="1" w16cid:durableId="96881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10.105.0.151/weaver/weaver.file.FileDownloadForNews?uuid=d16a95e3-b8a3-4f4e-8acc-66f585a7f971&amp;fileid=159642&amp;type=document&amp;isofficeview=0"/>
  </w:docVars>
  <w:rsids>
    <w:rsidRoot w:val="0016047C"/>
    <w:rsid w:val="00003143"/>
    <w:rsid w:val="00092076"/>
    <w:rsid w:val="00093FE1"/>
    <w:rsid w:val="00095FE8"/>
    <w:rsid w:val="000A19D5"/>
    <w:rsid w:val="000B1BF7"/>
    <w:rsid w:val="000B5444"/>
    <w:rsid w:val="000E368F"/>
    <w:rsid w:val="001028FB"/>
    <w:rsid w:val="00111B69"/>
    <w:rsid w:val="0016047C"/>
    <w:rsid w:val="00187A89"/>
    <w:rsid w:val="001A3F40"/>
    <w:rsid w:val="001F048E"/>
    <w:rsid w:val="001F50A9"/>
    <w:rsid w:val="00223458"/>
    <w:rsid w:val="0023177A"/>
    <w:rsid w:val="00256E00"/>
    <w:rsid w:val="0026182E"/>
    <w:rsid w:val="00287E11"/>
    <w:rsid w:val="002A4B59"/>
    <w:rsid w:val="002E470D"/>
    <w:rsid w:val="002F4EED"/>
    <w:rsid w:val="003016ED"/>
    <w:rsid w:val="0030591E"/>
    <w:rsid w:val="00343E6F"/>
    <w:rsid w:val="00360A3E"/>
    <w:rsid w:val="0039299A"/>
    <w:rsid w:val="003C080A"/>
    <w:rsid w:val="003D6887"/>
    <w:rsid w:val="003E36CC"/>
    <w:rsid w:val="004618A1"/>
    <w:rsid w:val="00463A9C"/>
    <w:rsid w:val="004653CC"/>
    <w:rsid w:val="00492139"/>
    <w:rsid w:val="004A12EE"/>
    <w:rsid w:val="004A418D"/>
    <w:rsid w:val="004B0364"/>
    <w:rsid w:val="00510263"/>
    <w:rsid w:val="00534167"/>
    <w:rsid w:val="00565464"/>
    <w:rsid w:val="00572231"/>
    <w:rsid w:val="005960E7"/>
    <w:rsid w:val="005C5BBA"/>
    <w:rsid w:val="005E748E"/>
    <w:rsid w:val="005F0923"/>
    <w:rsid w:val="006218FC"/>
    <w:rsid w:val="006629D2"/>
    <w:rsid w:val="00712327"/>
    <w:rsid w:val="00715A1F"/>
    <w:rsid w:val="00763926"/>
    <w:rsid w:val="007877CE"/>
    <w:rsid w:val="007A7FA6"/>
    <w:rsid w:val="007C47E6"/>
    <w:rsid w:val="00821CB1"/>
    <w:rsid w:val="00866BC2"/>
    <w:rsid w:val="008A66E7"/>
    <w:rsid w:val="008C0934"/>
    <w:rsid w:val="008D47C2"/>
    <w:rsid w:val="008E426E"/>
    <w:rsid w:val="008F73E6"/>
    <w:rsid w:val="009005F4"/>
    <w:rsid w:val="00903B0C"/>
    <w:rsid w:val="0092057A"/>
    <w:rsid w:val="00924013"/>
    <w:rsid w:val="00957277"/>
    <w:rsid w:val="00961DBA"/>
    <w:rsid w:val="00983E5D"/>
    <w:rsid w:val="00993C3B"/>
    <w:rsid w:val="009C44CF"/>
    <w:rsid w:val="00A002BD"/>
    <w:rsid w:val="00A01E2A"/>
    <w:rsid w:val="00A22648"/>
    <w:rsid w:val="00A27116"/>
    <w:rsid w:val="00A875B9"/>
    <w:rsid w:val="00AC6444"/>
    <w:rsid w:val="00AC7BC4"/>
    <w:rsid w:val="00AD7638"/>
    <w:rsid w:val="00AE00D8"/>
    <w:rsid w:val="00AE53D2"/>
    <w:rsid w:val="00B1070B"/>
    <w:rsid w:val="00B20EC6"/>
    <w:rsid w:val="00B441CE"/>
    <w:rsid w:val="00B560CD"/>
    <w:rsid w:val="00B66719"/>
    <w:rsid w:val="00B7061D"/>
    <w:rsid w:val="00BB76C5"/>
    <w:rsid w:val="00C22D81"/>
    <w:rsid w:val="00C81F77"/>
    <w:rsid w:val="00C95993"/>
    <w:rsid w:val="00CA045C"/>
    <w:rsid w:val="00CA5B0A"/>
    <w:rsid w:val="00CB01FE"/>
    <w:rsid w:val="00CB4B89"/>
    <w:rsid w:val="00CB4C80"/>
    <w:rsid w:val="00CC3746"/>
    <w:rsid w:val="00CD104C"/>
    <w:rsid w:val="00D05A11"/>
    <w:rsid w:val="00D504EF"/>
    <w:rsid w:val="00D6011D"/>
    <w:rsid w:val="00D763F9"/>
    <w:rsid w:val="00DA27CF"/>
    <w:rsid w:val="00DC3B7F"/>
    <w:rsid w:val="00E06CA6"/>
    <w:rsid w:val="00E24041"/>
    <w:rsid w:val="00E95D72"/>
    <w:rsid w:val="00EC1D9D"/>
    <w:rsid w:val="00F17217"/>
    <w:rsid w:val="00F81716"/>
    <w:rsid w:val="00F91776"/>
    <w:rsid w:val="00FA7F1E"/>
    <w:rsid w:val="00FE32CD"/>
    <w:rsid w:val="024B52AA"/>
    <w:rsid w:val="02906F11"/>
    <w:rsid w:val="051F632A"/>
    <w:rsid w:val="08AA23AF"/>
    <w:rsid w:val="09DB410D"/>
    <w:rsid w:val="09E87633"/>
    <w:rsid w:val="09F064E7"/>
    <w:rsid w:val="0B3F3282"/>
    <w:rsid w:val="0C8278CB"/>
    <w:rsid w:val="0DD96F94"/>
    <w:rsid w:val="0EB6629C"/>
    <w:rsid w:val="117B6FDE"/>
    <w:rsid w:val="1182211B"/>
    <w:rsid w:val="130C6140"/>
    <w:rsid w:val="14A5684C"/>
    <w:rsid w:val="152215AA"/>
    <w:rsid w:val="15227E9D"/>
    <w:rsid w:val="1A476F05"/>
    <w:rsid w:val="1DCA2E80"/>
    <w:rsid w:val="1E546BED"/>
    <w:rsid w:val="1F52137F"/>
    <w:rsid w:val="1FF70178"/>
    <w:rsid w:val="20196340"/>
    <w:rsid w:val="224F6306"/>
    <w:rsid w:val="23294AEC"/>
    <w:rsid w:val="23B07249"/>
    <w:rsid w:val="24D45BC9"/>
    <w:rsid w:val="24FC0417"/>
    <w:rsid w:val="25324515"/>
    <w:rsid w:val="25333A00"/>
    <w:rsid w:val="255503AA"/>
    <w:rsid w:val="273677D8"/>
    <w:rsid w:val="29657F00"/>
    <w:rsid w:val="2C5D1363"/>
    <w:rsid w:val="2E310CF9"/>
    <w:rsid w:val="2EB77450"/>
    <w:rsid w:val="2F0D52C2"/>
    <w:rsid w:val="2F763A81"/>
    <w:rsid w:val="313C59EB"/>
    <w:rsid w:val="33E365F1"/>
    <w:rsid w:val="342033A2"/>
    <w:rsid w:val="370D0A3B"/>
    <w:rsid w:val="377C1237"/>
    <w:rsid w:val="37B24C58"/>
    <w:rsid w:val="37E66A65"/>
    <w:rsid w:val="383218F5"/>
    <w:rsid w:val="398F2291"/>
    <w:rsid w:val="39B111FC"/>
    <w:rsid w:val="3D0A4BEF"/>
    <w:rsid w:val="3DAC3EF8"/>
    <w:rsid w:val="3F476E49"/>
    <w:rsid w:val="3F8A2017"/>
    <w:rsid w:val="40267F92"/>
    <w:rsid w:val="41F560CB"/>
    <w:rsid w:val="42A11B51"/>
    <w:rsid w:val="42CE66BF"/>
    <w:rsid w:val="431F6F1A"/>
    <w:rsid w:val="445A645C"/>
    <w:rsid w:val="445F3940"/>
    <w:rsid w:val="4530115F"/>
    <w:rsid w:val="471971C4"/>
    <w:rsid w:val="482F5E51"/>
    <w:rsid w:val="49A14B2D"/>
    <w:rsid w:val="4B8F7333"/>
    <w:rsid w:val="4C800A2A"/>
    <w:rsid w:val="4CD34FFD"/>
    <w:rsid w:val="4D053EB4"/>
    <w:rsid w:val="52F932E4"/>
    <w:rsid w:val="54774E08"/>
    <w:rsid w:val="55A97243"/>
    <w:rsid w:val="581B1F4E"/>
    <w:rsid w:val="5A1501DA"/>
    <w:rsid w:val="5BD801D7"/>
    <w:rsid w:val="5C276447"/>
    <w:rsid w:val="5D885990"/>
    <w:rsid w:val="5ED614C6"/>
    <w:rsid w:val="5FC92290"/>
    <w:rsid w:val="609E54CA"/>
    <w:rsid w:val="610123AB"/>
    <w:rsid w:val="612956DC"/>
    <w:rsid w:val="612F1FE2"/>
    <w:rsid w:val="62FE6571"/>
    <w:rsid w:val="63027F93"/>
    <w:rsid w:val="642D54E3"/>
    <w:rsid w:val="65FA58C5"/>
    <w:rsid w:val="68163A15"/>
    <w:rsid w:val="6AD55F8D"/>
    <w:rsid w:val="6C094140"/>
    <w:rsid w:val="6EC814C7"/>
    <w:rsid w:val="6F0B4673"/>
    <w:rsid w:val="70430D6D"/>
    <w:rsid w:val="70B825D8"/>
    <w:rsid w:val="70C1148D"/>
    <w:rsid w:val="71497FF2"/>
    <w:rsid w:val="71D909AB"/>
    <w:rsid w:val="72541E8D"/>
    <w:rsid w:val="74F32375"/>
    <w:rsid w:val="753F0BD2"/>
    <w:rsid w:val="7593174E"/>
    <w:rsid w:val="75AA5381"/>
    <w:rsid w:val="78857244"/>
    <w:rsid w:val="79095802"/>
    <w:rsid w:val="7C96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09B5C"/>
  <w15:docId w15:val="{C7D41699-60A1-4AC0-8218-5E293485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1"/>
    <w:qFormat/>
    <w:pPr>
      <w:keepNext/>
      <w:keepLines/>
      <w:spacing w:before="340" w:after="330" w:line="578" w:lineRule="auto"/>
      <w:outlineLvl w:val="0"/>
    </w:pPr>
    <w:rPr>
      <w:b/>
      <w:bCs/>
      <w:kern w:val="44"/>
      <w:sz w:val="44"/>
      <w:szCs w:val="44"/>
    </w:rPr>
  </w:style>
  <w:style w:type="paragraph" w:styleId="20">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420"/>
    </w:pPr>
  </w:style>
  <w:style w:type="paragraph" w:styleId="a3">
    <w:name w:val="Body Text Indent"/>
    <w:basedOn w:val="a"/>
    <w:qFormat/>
    <w:pPr>
      <w:spacing w:after="120"/>
      <w:ind w:leftChars="200" w:left="4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Arial Unicode MS" w:eastAsia="Arial Unicode MS" w:hAnsi="Arial Unicode MS"/>
      <w:kern w:val="0"/>
      <w:sz w:val="24"/>
      <w:szCs w:val="20"/>
    </w:rPr>
  </w:style>
  <w:style w:type="table" w:styleId="a9">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rPr>
  </w:style>
  <w:style w:type="paragraph" w:customStyle="1" w:styleId="PlainText">
    <w:name w:val="PlainText"/>
    <w:basedOn w:val="a"/>
    <w:qFormat/>
    <w:rPr>
      <w:rFonts w:ascii="宋体" w:hAnsi="Courier New"/>
      <w:kern w:val="0"/>
      <w:sz w:val="20"/>
      <w:szCs w:val="21"/>
    </w:rPr>
  </w:style>
  <w:style w:type="character" w:customStyle="1" w:styleId="NormalCharacter">
    <w:name w:val="NormalCharacter"/>
    <w:qFormat/>
  </w:style>
  <w:style w:type="paragraph" w:customStyle="1" w:styleId="GHC2">
    <w:name w:val="GHC标题2"/>
    <w:basedOn w:val="20"/>
    <w:qFormat/>
    <w:pPr>
      <w:numPr>
        <w:numId w:val="1"/>
      </w:numPr>
      <w:spacing w:line="415" w:lineRule="auto"/>
    </w:pPr>
    <w:rPr>
      <w:rFonts w:ascii="黑体" w:hAnsi="黑体"/>
      <w:sz w:val="30"/>
      <w:szCs w:val="30"/>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499</Words>
  <Characters>2847</Characters>
  <Application>Microsoft Office Word</Application>
  <DocSecurity>0</DocSecurity>
  <Lines>23</Lines>
  <Paragraphs>6</Paragraphs>
  <ScaleCrop>false</ScaleCrop>
  <Company>P R C</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wang</cp:lastModifiedBy>
  <cp:revision>131</cp:revision>
  <cp:lastPrinted>2025-03-14T03:37:00Z</cp:lastPrinted>
  <dcterms:created xsi:type="dcterms:W3CDTF">2022-01-18T02:57:00Z</dcterms:created>
  <dcterms:modified xsi:type="dcterms:W3CDTF">2025-03-14T04:48:00Z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eyJoZGlkIjoiZjMwYTE1MmRkZTlkYjA2MTI1YTUyYzQ1MjViYzY5ZGUiLCJ1c2VySWQiOiI3NzM0MzY4MTkifQ==</vt:lpwstr>
  </property>
  <property fmtid="{D5CDD505-2E9C-101B-9397-08002B2CF9AE}" pid="4" name="ICV">
    <vt:lpwstr>54E05ACDB8174B02A1EBD8C66E5E8CB1_12</vt:lpwstr>
  </property>
</Properties>
</file>